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1E" w:rsidRDefault="00A44A1E" w:rsidP="00A44A1E">
      <w:pPr>
        <w:jc w:val="right"/>
        <w:rPr>
          <w:rFonts w:ascii="Arial" w:eastAsia="ＭＳ ゴシック" w:hAnsi="Arial" w:cs="Arial"/>
          <w:b/>
          <w:bCs/>
          <w:iCs/>
          <w:color w:val="auto"/>
          <w:sz w:val="28"/>
          <w:szCs w:val="28"/>
          <w:u w:val="single"/>
        </w:rPr>
      </w:pPr>
      <w:r>
        <w:rPr>
          <w:b/>
          <w:color w:val="FF0000"/>
        </w:rPr>
        <w:t>&lt;</w:t>
      </w:r>
      <w:r>
        <w:rPr>
          <w:rFonts w:hint="eastAsia"/>
          <w:b/>
          <w:color w:val="FF0000"/>
        </w:rPr>
        <w:t>教授用資料</w:t>
      </w:r>
      <w:r>
        <w:rPr>
          <w:b/>
          <w:color w:val="FF0000"/>
        </w:rPr>
        <w:t>&gt;</w:t>
      </w:r>
    </w:p>
    <w:p w:rsidR="00DA1905" w:rsidRPr="00012EEA" w:rsidRDefault="003055CD">
      <w:pPr>
        <w:jc w:val="center"/>
        <w:rPr>
          <w:rFonts w:ascii="Arial" w:eastAsia="ＭＳ ゴシック" w:hAnsi="Arial" w:cs="Arial"/>
          <w:color w:val="auto"/>
          <w:spacing w:val="4"/>
          <w:sz w:val="28"/>
          <w:szCs w:val="28"/>
        </w:rPr>
      </w:pPr>
      <w:r w:rsidRPr="00012EEA">
        <w:rPr>
          <w:rFonts w:ascii="Arial" w:eastAsia="ＭＳ ゴシック" w:hAnsi="Arial" w:cs="Arial" w:hint="eastAsia"/>
          <w:b/>
          <w:bCs/>
          <w:iCs/>
          <w:color w:val="auto"/>
          <w:sz w:val="28"/>
          <w:szCs w:val="28"/>
          <w:u w:val="single"/>
        </w:rPr>
        <w:t>Revised</w:t>
      </w:r>
      <w:r w:rsidRPr="00012EEA">
        <w:rPr>
          <w:rFonts w:ascii="Arial" w:eastAsia="ＭＳ ゴシック" w:hAnsi="Arial" w:cs="Arial"/>
          <w:b/>
          <w:bCs/>
          <w:iCs/>
          <w:color w:val="auto"/>
          <w:sz w:val="28"/>
          <w:szCs w:val="28"/>
          <w:u w:val="single"/>
        </w:rPr>
        <w:t xml:space="preserve"> </w:t>
      </w:r>
      <w:r w:rsidR="00DA1905" w:rsidRPr="00012EEA">
        <w:rPr>
          <w:rFonts w:ascii="Arial" w:eastAsia="ＭＳ ゴシック" w:hAnsi="Arial" w:cs="Arial"/>
          <w:b/>
          <w:bCs/>
          <w:iCs/>
          <w:color w:val="auto"/>
          <w:sz w:val="28"/>
          <w:szCs w:val="28"/>
          <w:u w:val="single"/>
        </w:rPr>
        <w:t>BIG DIPPER English Co</w:t>
      </w:r>
      <w:r w:rsidR="00F6112B" w:rsidRPr="00012EEA">
        <w:rPr>
          <w:rFonts w:ascii="Arial" w:eastAsia="ＭＳ ゴシック" w:hAnsi="Arial" w:cs="Arial"/>
          <w:b/>
          <w:bCs/>
          <w:iCs/>
          <w:color w:val="auto"/>
          <w:sz w:val="28"/>
          <w:szCs w:val="28"/>
          <w:u w:val="single"/>
        </w:rPr>
        <w:t>mmunication</w:t>
      </w:r>
      <w:r w:rsidR="00DA1905" w:rsidRPr="00012EEA">
        <w:rPr>
          <w:rFonts w:ascii="Arial" w:eastAsia="ＭＳ ゴシック" w:hAnsi="Arial" w:cs="Arial"/>
          <w:b/>
          <w:bCs/>
          <w:iCs/>
          <w:color w:val="auto"/>
          <w:sz w:val="28"/>
          <w:szCs w:val="28"/>
          <w:u w:val="single"/>
        </w:rPr>
        <w:t xml:space="preserve"> </w:t>
      </w:r>
      <w:r w:rsidR="00392C18" w:rsidRPr="00012EEA">
        <w:rPr>
          <w:rFonts w:ascii="Arial" w:eastAsia="ＭＳ ゴシック" w:hAnsi="Arial" w:cs="Arial" w:hint="eastAsia"/>
          <w:b/>
          <w:bCs/>
          <w:iCs/>
          <w:color w:val="auto"/>
          <w:sz w:val="28"/>
          <w:szCs w:val="28"/>
          <w:u w:val="single"/>
        </w:rPr>
        <w:t>Ⅲ</w:t>
      </w:r>
      <w:r w:rsidR="00392C18" w:rsidRPr="00012EEA">
        <w:rPr>
          <w:rFonts w:ascii="Arial" w:eastAsia="ＭＳ ゴシック" w:hAnsi="Arial" w:cs="Arial" w:hint="eastAsia"/>
          <w:b/>
          <w:bCs/>
          <w:iCs/>
          <w:color w:val="auto"/>
          <w:sz w:val="28"/>
          <w:szCs w:val="28"/>
          <w:u w:val="single"/>
        </w:rPr>
        <w:t xml:space="preserve"> </w:t>
      </w:r>
      <w:r w:rsidR="00F777E4" w:rsidRPr="00012EEA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の観点別特色</w:t>
      </w:r>
      <w:bookmarkStart w:id="0" w:name="_GoBack"/>
      <w:bookmarkEnd w:id="0"/>
    </w:p>
    <w:p w:rsidR="00DA1905" w:rsidRPr="00012EEA" w:rsidRDefault="00DA1905">
      <w:pPr>
        <w:rPr>
          <w:rFonts w:ascii="ＭＳ Ｐゴシック" w:eastAsia="ＭＳ Ｐゴシック" w:hAnsi="ＭＳ Ｐゴシック"/>
          <w:b/>
          <w:bCs/>
          <w:color w:val="auto"/>
        </w:rPr>
      </w:pPr>
    </w:p>
    <w:p w:rsidR="00DA1905" w:rsidRPr="00012EEA" w:rsidRDefault="00DA1905" w:rsidP="00F777E4">
      <w:pPr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ascii="Arial" w:eastAsia="ＭＳ ゴシック" w:hAnsi="Arial" w:cs="Arial"/>
          <w:b/>
          <w:bCs/>
          <w:color w:val="auto"/>
          <w:sz w:val="22"/>
          <w:szCs w:val="22"/>
        </w:rPr>
      </w:pPr>
      <w:r w:rsidRPr="00012EEA">
        <w:rPr>
          <w:rFonts w:ascii="Arial" w:eastAsia="ＭＳ ゴシック" w:hAnsi="ＭＳ ゴシック" w:cs="Arial"/>
          <w:b/>
          <w:bCs/>
          <w:color w:val="auto"/>
          <w:sz w:val="22"/>
          <w:szCs w:val="22"/>
        </w:rPr>
        <w:t>内容</w:t>
      </w:r>
    </w:p>
    <w:p w:rsidR="00F64184" w:rsidRPr="00012EEA" w:rsidRDefault="00585324" w:rsidP="00BB4708">
      <w:pPr>
        <w:numPr>
          <w:ilvl w:val="0"/>
          <w:numId w:val="1"/>
        </w:numPr>
        <w:tabs>
          <w:tab w:val="clear" w:pos="360"/>
        </w:tabs>
        <w:ind w:left="273" w:hangingChars="130" w:hanging="273"/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 w:hint="eastAsia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Ⅰ</w:t>
      </w:r>
      <w:r w:rsidR="00DA1905" w:rsidRPr="00012EEA">
        <w:rPr>
          <w:rFonts w:ascii="Century" w:hAnsi="ＭＳ 明朝"/>
          <w:color w:val="auto"/>
        </w:rPr>
        <w:t>では，</w:t>
      </w:r>
      <w:r w:rsidRPr="00012EEA">
        <w:rPr>
          <w:rFonts w:ascii="Century" w:hAnsi="ＭＳ 明朝" w:hint="eastAsia"/>
          <w:color w:val="auto"/>
        </w:rPr>
        <w:t>Reading Skil</w:t>
      </w:r>
      <w:r w:rsidRPr="00012EEA">
        <w:rPr>
          <w:rFonts w:ascii="Century" w:hAnsi="ＭＳ 明朝"/>
          <w:color w:val="auto"/>
        </w:rPr>
        <w:t>l</w:t>
      </w:r>
      <w:r w:rsidR="00F64184" w:rsidRPr="00012EEA">
        <w:rPr>
          <w:rFonts w:ascii="Century" w:hAnsi="ＭＳ 明朝" w:hint="eastAsia"/>
          <w:color w:val="auto"/>
        </w:rPr>
        <w:t>・</w:t>
      </w:r>
      <w:r w:rsidRPr="00012EEA">
        <w:rPr>
          <w:rFonts w:ascii="Century" w:hAnsi="ＭＳ 明朝" w:hint="eastAsia"/>
          <w:color w:val="auto"/>
        </w:rPr>
        <w:t>つなぎ表現について取り上げ，英文を効果的に読むポイントを学習できる</w:t>
      </w:r>
      <w:r w:rsidR="003055CD" w:rsidRPr="00012EEA">
        <w:rPr>
          <w:rFonts w:ascii="Century" w:hAnsi="ＭＳ 明朝" w:hint="eastAsia"/>
          <w:color w:val="auto"/>
        </w:rPr>
        <w:t>。</w:t>
      </w:r>
      <w:r w:rsidR="00F64184" w:rsidRPr="00012EEA">
        <w:rPr>
          <w:rFonts w:ascii="Century" w:hAnsi="ＭＳ 明朝"/>
          <w:color w:val="auto"/>
        </w:rPr>
        <w:t>また，</w:t>
      </w:r>
      <w:r w:rsidR="003055CD" w:rsidRPr="00012EEA">
        <w:rPr>
          <w:rFonts w:ascii="Century" w:hAnsi="ＭＳ 明朝" w:hint="eastAsia"/>
          <w:color w:val="auto"/>
        </w:rPr>
        <w:t>SECTION</w:t>
      </w:r>
      <w:r w:rsidR="003055CD" w:rsidRPr="00012EEA">
        <w:rPr>
          <w:rFonts w:ascii="Century" w:hAnsi="ＭＳ 明朝" w:hint="eastAsia"/>
          <w:color w:val="auto"/>
        </w:rPr>
        <w:t>Ⅰ・Ⅱの</w:t>
      </w:r>
      <w:r w:rsidR="00F64184" w:rsidRPr="00012EEA">
        <w:rPr>
          <w:rFonts w:ascii="Century" w:hAnsi="ＭＳ 明朝"/>
          <w:color w:val="auto"/>
        </w:rPr>
        <w:t>文章形式も説明文以外に，</w:t>
      </w:r>
      <w:r w:rsidR="00F64184" w:rsidRPr="00012EEA">
        <w:rPr>
          <w:rFonts w:ascii="Century" w:hAnsi="ＭＳ 明朝" w:hint="eastAsia"/>
          <w:color w:val="auto"/>
        </w:rPr>
        <w:t>ウェブサイト・旅行ガイド・パンフレット・新聞</w:t>
      </w:r>
      <w:r w:rsidR="003055CD" w:rsidRPr="00012EEA">
        <w:rPr>
          <w:rFonts w:ascii="Century" w:hAnsi="ＭＳ 明朝" w:hint="eastAsia"/>
          <w:color w:val="auto"/>
        </w:rPr>
        <w:t>・図表・プレゼンテーション</w:t>
      </w:r>
      <w:r w:rsidR="00F64184" w:rsidRPr="00012EEA">
        <w:rPr>
          <w:rFonts w:ascii="Century" w:hAnsi="ＭＳ 明朝" w:hint="eastAsia"/>
          <w:color w:val="auto"/>
        </w:rPr>
        <w:t>など，</w:t>
      </w:r>
      <w:r w:rsidR="00F64184" w:rsidRPr="00012EEA">
        <w:rPr>
          <w:rFonts w:ascii="Century" w:hAnsi="ＭＳ 明朝"/>
          <w:color w:val="auto"/>
        </w:rPr>
        <w:t>バラエティに富んでおり，コミュニケーション英語という科目名にふさわしい活動が展開できる</w:t>
      </w:r>
      <w:r w:rsidR="003055CD" w:rsidRPr="00012EEA">
        <w:rPr>
          <w:rFonts w:ascii="Century" w:hAnsi="ＭＳ 明朝"/>
          <w:color w:val="auto"/>
        </w:rPr>
        <w:t>。</w:t>
      </w:r>
    </w:p>
    <w:p w:rsidR="005A3B0F" w:rsidRPr="00012EEA" w:rsidRDefault="005A3B0F" w:rsidP="00BB4708">
      <w:pPr>
        <w:numPr>
          <w:ilvl w:val="0"/>
          <w:numId w:val="1"/>
        </w:numPr>
        <w:tabs>
          <w:tab w:val="clear" w:pos="360"/>
        </w:tabs>
        <w:ind w:left="273" w:hangingChars="130" w:hanging="273"/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 w:hint="eastAsia"/>
          <w:color w:val="auto"/>
        </w:rPr>
        <w:t>S</w:t>
      </w:r>
      <w:r w:rsidRPr="00012EEA">
        <w:rPr>
          <w:rFonts w:ascii="Century" w:hAnsi="ＭＳ 明朝"/>
          <w:color w:val="auto"/>
        </w:rPr>
        <w:t>ECTION</w:t>
      </w:r>
      <w:r w:rsidRPr="00012EEA">
        <w:rPr>
          <w:rFonts w:ascii="Century" w:hAnsi="ＭＳ 明朝" w:hint="eastAsia"/>
          <w:color w:val="auto"/>
        </w:rPr>
        <w:t>Ⅰ・Ⅱでは，</w:t>
      </w:r>
      <w:r w:rsidRPr="00012EEA">
        <w:rPr>
          <w:rFonts w:ascii="Century" w:hAnsi="ＭＳ 明朝"/>
          <w:color w:val="auto"/>
        </w:rPr>
        <w:t>英文の長さは適度に短めで，複雑な構文を含まず，音読・暗唱活動等にも適している</w:t>
      </w:r>
      <w:r w:rsidR="003055CD" w:rsidRPr="00012EEA">
        <w:rPr>
          <w:rFonts w:ascii="Century" w:hAnsi="ＭＳ 明朝"/>
          <w:color w:val="auto"/>
        </w:rPr>
        <w:t>。</w:t>
      </w:r>
    </w:p>
    <w:p w:rsidR="00392EA1" w:rsidRPr="00012EEA" w:rsidRDefault="00392EA1" w:rsidP="00392EA1">
      <w:pPr>
        <w:numPr>
          <w:ilvl w:val="0"/>
          <w:numId w:val="1"/>
        </w:numPr>
        <w:tabs>
          <w:tab w:val="clear" w:pos="360"/>
        </w:tabs>
        <w:ind w:left="273" w:hangingChars="130" w:hanging="273"/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 w:hint="eastAsia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Ⅰ～</w:t>
      </w:r>
      <w:r w:rsidRPr="00012EEA">
        <w:rPr>
          <w:rFonts w:ascii="Century" w:hAnsi="ＭＳ 明朝" w:hint="eastAsia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Ⅲの題材は，</w:t>
      </w:r>
      <w:r w:rsidR="00F64184" w:rsidRPr="00012EEA">
        <w:rPr>
          <w:rFonts w:ascii="Century" w:hAnsi="ＭＳ 明朝" w:hint="eastAsia"/>
          <w:color w:val="auto"/>
        </w:rPr>
        <w:t>「</w:t>
      </w:r>
      <w:r w:rsidR="003055CD" w:rsidRPr="00012EEA">
        <w:rPr>
          <w:rFonts w:ascii="Century" w:hAnsi="ＭＳ 明朝" w:hint="eastAsia"/>
          <w:color w:val="auto"/>
        </w:rPr>
        <w:t>教育</w:t>
      </w:r>
      <w:r w:rsidR="00F64184" w:rsidRPr="00012EEA">
        <w:rPr>
          <w:rFonts w:ascii="Century" w:hAnsi="ＭＳ 明朝" w:hint="eastAsia"/>
          <w:color w:val="auto"/>
        </w:rPr>
        <w:t>・</w:t>
      </w:r>
      <w:r w:rsidR="003055CD" w:rsidRPr="00012EEA">
        <w:rPr>
          <w:rFonts w:ascii="Century" w:hAnsi="ＭＳ 明朝" w:hint="eastAsia"/>
          <w:color w:val="auto"/>
        </w:rPr>
        <w:t>健康</w:t>
      </w:r>
      <w:r w:rsidR="00F64184" w:rsidRPr="00012EEA">
        <w:rPr>
          <w:rFonts w:ascii="Century" w:hAnsi="ＭＳ 明朝" w:hint="eastAsia"/>
          <w:color w:val="auto"/>
        </w:rPr>
        <w:t>」</w:t>
      </w:r>
      <w:r w:rsidR="003055CD" w:rsidRPr="00012EEA">
        <w:rPr>
          <w:rFonts w:ascii="Century" w:hAnsi="ＭＳ 明朝" w:hint="eastAsia"/>
          <w:color w:val="auto"/>
        </w:rPr>
        <w:t>「コミュニケーション」</w:t>
      </w:r>
      <w:r w:rsidR="00F64184" w:rsidRPr="00012EEA">
        <w:rPr>
          <w:rFonts w:ascii="Century" w:hAnsi="ＭＳ 明朝" w:hint="eastAsia"/>
          <w:color w:val="auto"/>
        </w:rPr>
        <w:t>「環境・自然」「</w:t>
      </w:r>
      <w:r w:rsidR="003055CD" w:rsidRPr="00012EEA">
        <w:rPr>
          <w:rFonts w:ascii="Century" w:hAnsi="ＭＳ 明朝" w:hint="eastAsia"/>
          <w:color w:val="auto"/>
        </w:rPr>
        <w:t>言語</w:t>
      </w:r>
      <w:r w:rsidR="00F64184" w:rsidRPr="00012EEA">
        <w:rPr>
          <w:rFonts w:ascii="Century" w:hAnsi="ＭＳ 明朝" w:hint="eastAsia"/>
          <w:color w:val="auto"/>
        </w:rPr>
        <w:t>・</w:t>
      </w:r>
      <w:r w:rsidR="003055CD" w:rsidRPr="00012EEA">
        <w:rPr>
          <w:rFonts w:ascii="Century" w:hAnsi="ＭＳ 明朝" w:hint="eastAsia"/>
          <w:color w:val="auto"/>
        </w:rPr>
        <w:t>文化</w:t>
      </w:r>
      <w:r w:rsidR="00F64184" w:rsidRPr="00012EEA">
        <w:rPr>
          <w:rFonts w:ascii="Century" w:hAnsi="ＭＳ 明朝" w:hint="eastAsia"/>
          <w:color w:val="auto"/>
        </w:rPr>
        <w:t>」「科学・技術」</w:t>
      </w:r>
      <w:r w:rsidR="005A3B0F" w:rsidRPr="00012EEA">
        <w:rPr>
          <w:rFonts w:ascii="Century" w:hAnsi="ＭＳ 明朝" w:hint="eastAsia"/>
          <w:color w:val="auto"/>
        </w:rPr>
        <w:t>など</w:t>
      </w:r>
      <w:r w:rsidR="00F64184" w:rsidRPr="00012EEA">
        <w:rPr>
          <w:rFonts w:ascii="Century" w:hAnsi="ＭＳ 明朝" w:hint="eastAsia"/>
          <w:color w:val="auto"/>
        </w:rPr>
        <w:t>，</w:t>
      </w:r>
      <w:r w:rsidR="00751BEB" w:rsidRPr="00012EEA">
        <w:rPr>
          <w:rFonts w:ascii="Century" w:hAnsi="ＭＳ 明朝" w:hint="eastAsia"/>
          <w:color w:val="auto"/>
        </w:rPr>
        <w:t>学習者に身近で好奇心を刺激する</w:t>
      </w:r>
      <w:r w:rsidRPr="00012EEA">
        <w:rPr>
          <w:rFonts w:ascii="Century" w:hAnsi="ＭＳ 明朝" w:hint="eastAsia"/>
          <w:color w:val="auto"/>
        </w:rPr>
        <w:t>もの</w:t>
      </w:r>
      <w:r w:rsidR="00F64184" w:rsidRPr="00012EEA">
        <w:rPr>
          <w:rFonts w:ascii="Century" w:hAnsi="ＭＳ 明朝" w:hint="eastAsia"/>
          <w:color w:val="auto"/>
        </w:rPr>
        <w:t>から進路選択の参考になる</w:t>
      </w:r>
      <w:r w:rsidRPr="00012EEA">
        <w:rPr>
          <w:rFonts w:ascii="Century" w:hAnsi="ＭＳ 明朝" w:hint="eastAsia"/>
          <w:color w:val="auto"/>
        </w:rPr>
        <w:t>ものが，豊富かつバランスよく</w:t>
      </w:r>
      <w:r w:rsidR="00DA1905" w:rsidRPr="00012EEA">
        <w:rPr>
          <w:rFonts w:ascii="Century" w:hAnsi="ＭＳ 明朝"/>
          <w:color w:val="auto"/>
        </w:rPr>
        <w:t>揃</w:t>
      </w:r>
      <w:r w:rsidRPr="00012EEA">
        <w:rPr>
          <w:rFonts w:ascii="Century" w:hAnsi="ＭＳ 明朝" w:hint="eastAsia"/>
          <w:color w:val="auto"/>
        </w:rPr>
        <w:t>えられている</w:t>
      </w:r>
      <w:r w:rsidR="003055CD" w:rsidRPr="00012EEA">
        <w:rPr>
          <w:rFonts w:ascii="Century" w:hAnsi="ＭＳ 明朝" w:hint="eastAsia"/>
          <w:color w:val="auto"/>
        </w:rPr>
        <w:t>。</w:t>
      </w:r>
    </w:p>
    <w:p w:rsidR="00DA1905" w:rsidRPr="00012EEA" w:rsidRDefault="00DA1905">
      <w:pPr>
        <w:rPr>
          <w:rFonts w:ascii="ＭＳ Ｐゴシック" w:eastAsia="ＭＳ Ｐゴシック" w:hAnsi="ＭＳ Ｐゴシック"/>
          <w:color w:val="auto"/>
          <w:spacing w:val="4"/>
        </w:rPr>
      </w:pPr>
    </w:p>
    <w:p w:rsidR="00DA1905" w:rsidRPr="00012EEA" w:rsidRDefault="00DA1905" w:rsidP="00F777E4">
      <w:pPr>
        <w:numPr>
          <w:ilvl w:val="0"/>
          <w:numId w:val="2"/>
        </w:numPr>
        <w:ind w:left="426" w:hanging="426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12EEA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構成・分量</w:t>
      </w:r>
    </w:p>
    <w:p w:rsidR="00DE1C19" w:rsidRPr="00012EEA" w:rsidRDefault="00392EA1" w:rsidP="00BB4708">
      <w:pPr>
        <w:numPr>
          <w:ilvl w:val="0"/>
          <w:numId w:val="1"/>
        </w:numPr>
        <w:rPr>
          <w:rFonts w:ascii="Century" w:eastAsia="ＭＳ Ｐゴシック" w:hAnsi="Century"/>
          <w:b/>
          <w:bCs/>
          <w:color w:val="auto"/>
        </w:rPr>
      </w:pPr>
      <w:r w:rsidRPr="00012EEA">
        <w:rPr>
          <w:rFonts w:ascii="Century" w:hAnsi="ＭＳ 明朝" w:hint="eastAsia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Ⅰ</w:t>
      </w:r>
      <w:r w:rsidR="00DE1C19" w:rsidRPr="00012EEA">
        <w:rPr>
          <w:rFonts w:ascii="Century" w:hAnsi="ＭＳ 明朝" w:hint="eastAsia"/>
          <w:color w:val="auto"/>
        </w:rPr>
        <w:t>・</w:t>
      </w:r>
      <w:r w:rsidRPr="00012EEA">
        <w:rPr>
          <w:rFonts w:ascii="Century" w:hAnsi="ＭＳ 明朝" w:hint="eastAsia"/>
          <w:color w:val="auto"/>
        </w:rPr>
        <w:t>Ⅱでは，</w:t>
      </w:r>
      <w:r w:rsidR="00DE1C19" w:rsidRPr="00012EEA">
        <w:rPr>
          <w:rFonts w:ascii="Century" w:hAnsi="ＭＳ 明朝" w:hint="eastAsia"/>
          <w:color w:val="auto"/>
        </w:rPr>
        <w:t>本文は</w:t>
      </w:r>
      <w:r w:rsidR="00DA40F7" w:rsidRPr="00012EEA">
        <w:rPr>
          <w:rFonts w:ascii="Century" w:hAnsi="ＭＳ 明朝"/>
          <w:color w:val="auto"/>
        </w:rPr>
        <w:t>すべて見開き</w:t>
      </w:r>
      <w:r w:rsidR="00DA40F7" w:rsidRPr="00012EEA">
        <w:rPr>
          <w:rFonts w:ascii="Century" w:hAnsi="Century"/>
          <w:color w:val="auto"/>
        </w:rPr>
        <w:t>1</w:t>
      </w:r>
      <w:r w:rsidR="00DA40F7" w:rsidRPr="00012EEA">
        <w:rPr>
          <w:rFonts w:ascii="Century" w:hAnsi="ＭＳ 明朝"/>
          <w:color w:val="auto"/>
        </w:rPr>
        <w:t>時限の構成となっていて</w:t>
      </w:r>
      <w:r w:rsidR="00DE1C19" w:rsidRPr="00012EEA">
        <w:rPr>
          <w:rFonts w:ascii="Century" w:hAnsi="ＭＳ 明朝" w:hint="eastAsia"/>
          <w:color w:val="auto"/>
        </w:rPr>
        <w:t>使いやすく，</w:t>
      </w:r>
      <w:r w:rsidR="00DA40F7" w:rsidRPr="00012EEA">
        <w:rPr>
          <w:rFonts w:ascii="Century" w:hAnsi="ＭＳ 明朝"/>
          <w:color w:val="auto"/>
        </w:rPr>
        <w:t>授業計画が立てやすい</w:t>
      </w:r>
      <w:r w:rsidR="003055CD" w:rsidRPr="00012EEA">
        <w:rPr>
          <w:rFonts w:ascii="Century" w:hAnsi="ＭＳ 明朝"/>
          <w:color w:val="auto"/>
        </w:rPr>
        <w:t>。</w:t>
      </w:r>
    </w:p>
    <w:p w:rsidR="00392EA1" w:rsidRPr="00012EEA" w:rsidRDefault="00DE1C19" w:rsidP="00DE1C19">
      <w:pPr>
        <w:numPr>
          <w:ilvl w:val="0"/>
          <w:numId w:val="1"/>
        </w:numPr>
        <w:rPr>
          <w:rFonts w:ascii="Century" w:eastAsia="ＭＳ Ｐゴシック" w:hAnsi="Century"/>
          <w:b/>
          <w:bCs/>
          <w:color w:val="auto"/>
        </w:rPr>
      </w:pPr>
      <w:r w:rsidRPr="00012EEA">
        <w:rPr>
          <w:rFonts w:ascii="Century" w:hAnsi="ＭＳ 明朝"/>
          <w:color w:val="auto"/>
        </w:rPr>
        <w:t>SECTON</w:t>
      </w:r>
      <w:r w:rsidRPr="00012EEA">
        <w:rPr>
          <w:rFonts w:ascii="Century" w:hAnsi="ＭＳ 明朝" w:hint="eastAsia"/>
          <w:color w:val="auto"/>
        </w:rPr>
        <w:t>Ⅰ・Ⅱの</w:t>
      </w:r>
      <w:r w:rsidR="00DA40F7" w:rsidRPr="00012EEA">
        <w:rPr>
          <w:rFonts w:ascii="Century" w:hAnsi="ＭＳ 明朝"/>
          <w:color w:val="auto"/>
        </w:rPr>
        <w:t>本文右ページは</w:t>
      </w:r>
      <w:r w:rsidR="00392EA1" w:rsidRPr="00012EEA">
        <w:rPr>
          <w:rFonts w:ascii="Century" w:hAnsi="ＭＳ 明朝" w:hint="eastAsia"/>
          <w:color w:val="auto"/>
        </w:rPr>
        <w:t>，左ページの本文内容を確認する問題となっており，</w:t>
      </w:r>
      <w:r w:rsidR="00DA40F7" w:rsidRPr="00012EEA">
        <w:rPr>
          <w:rFonts w:ascii="Century" w:hAnsi="ＭＳ 明朝"/>
          <w:color w:val="auto"/>
        </w:rPr>
        <w:t>「読む」こと</w:t>
      </w:r>
      <w:r w:rsidR="00B153F1" w:rsidRPr="00012EEA">
        <w:rPr>
          <w:rFonts w:ascii="Century" w:hAnsi="ＭＳ 明朝" w:hint="eastAsia"/>
          <w:color w:val="auto"/>
        </w:rPr>
        <w:t>に</w:t>
      </w:r>
      <w:r w:rsidR="00DA40F7" w:rsidRPr="00012EEA">
        <w:rPr>
          <w:rFonts w:ascii="Century" w:hAnsi="ＭＳ 明朝"/>
          <w:color w:val="auto"/>
        </w:rPr>
        <w:t>主眼を置いた構成になっている</w:t>
      </w:r>
      <w:r w:rsidR="003055CD" w:rsidRPr="00012EEA">
        <w:rPr>
          <w:rFonts w:ascii="Century" w:hAnsi="ＭＳ 明朝"/>
          <w:color w:val="auto"/>
        </w:rPr>
        <w:t>。</w:t>
      </w:r>
    </w:p>
    <w:p w:rsidR="00DA40F7" w:rsidRPr="00012EEA" w:rsidRDefault="00392EA1" w:rsidP="00BB4708">
      <w:pPr>
        <w:numPr>
          <w:ilvl w:val="0"/>
          <w:numId w:val="1"/>
        </w:numPr>
        <w:rPr>
          <w:rFonts w:ascii="Century" w:eastAsia="ＭＳ Ｐゴシック" w:hAnsi="Century"/>
          <w:b/>
          <w:bCs/>
          <w:color w:val="auto"/>
        </w:rPr>
      </w:pPr>
      <w:r w:rsidRPr="00012EEA">
        <w:rPr>
          <w:rFonts w:ascii="Century" w:hAnsi="ＭＳ 明朝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Ⅰ～</w:t>
      </w:r>
      <w:r w:rsidRPr="00012EEA">
        <w:rPr>
          <w:rFonts w:ascii="Century" w:hAnsi="ＭＳ 明朝" w:hint="eastAsia"/>
          <w:color w:val="auto"/>
        </w:rPr>
        <w:t>SECTION</w:t>
      </w:r>
      <w:r w:rsidRPr="00012EEA">
        <w:rPr>
          <w:rFonts w:ascii="Century" w:hAnsi="ＭＳ 明朝" w:hint="eastAsia"/>
          <w:color w:val="auto"/>
        </w:rPr>
        <w:t>Ⅲのすべてのレッスンで</w:t>
      </w:r>
      <w:r w:rsidRPr="00012EEA">
        <w:rPr>
          <w:rFonts w:ascii="Century" w:hAnsi="ＭＳ 明朝" w:hint="eastAsia"/>
          <w:color w:val="auto"/>
        </w:rPr>
        <w:t>I</w:t>
      </w:r>
      <w:r w:rsidR="00DA40F7" w:rsidRPr="00012EEA">
        <w:rPr>
          <w:rFonts w:ascii="Century" w:hAnsi="Century"/>
          <w:color w:val="auto"/>
        </w:rPr>
        <w:t>t’s Your Turn!</w:t>
      </w:r>
      <w:r w:rsidR="00DA40F7" w:rsidRPr="00012EEA">
        <w:rPr>
          <w:rFonts w:ascii="ＭＳ 明朝" w:hAnsi="ＭＳ 明朝"/>
          <w:color w:val="auto"/>
        </w:rPr>
        <w:t>(</w:t>
      </w:r>
      <w:r w:rsidR="00DA40F7" w:rsidRPr="00012EEA">
        <w:rPr>
          <w:rFonts w:ascii="Century" w:hAnsi="ＭＳ 明朝"/>
          <w:color w:val="auto"/>
        </w:rPr>
        <w:t>本文</w:t>
      </w:r>
      <w:r w:rsidRPr="00012EEA">
        <w:rPr>
          <w:rFonts w:ascii="Century" w:hAnsi="ＭＳ 明朝" w:hint="eastAsia"/>
          <w:color w:val="auto"/>
        </w:rPr>
        <w:t>内容に関する自己表現</w:t>
      </w:r>
      <w:r w:rsidR="00DA40F7" w:rsidRPr="00012EEA">
        <w:rPr>
          <w:rFonts w:ascii="Century" w:hAnsi="ＭＳ 明朝"/>
          <w:color w:val="auto"/>
        </w:rPr>
        <w:t>活動</w:t>
      </w:r>
      <w:r w:rsidR="00DA40F7" w:rsidRPr="00012EEA">
        <w:rPr>
          <w:rFonts w:ascii="ＭＳ 明朝" w:hAnsi="ＭＳ 明朝"/>
          <w:color w:val="auto"/>
        </w:rPr>
        <w:t>)</w:t>
      </w:r>
      <w:r w:rsidR="00DA40F7" w:rsidRPr="00012EEA">
        <w:rPr>
          <w:rFonts w:ascii="Century" w:hAnsi="ＭＳ 明朝"/>
          <w:color w:val="auto"/>
        </w:rPr>
        <w:t>が</w:t>
      </w:r>
      <w:r w:rsidRPr="00012EEA">
        <w:rPr>
          <w:rFonts w:ascii="Century" w:hAnsi="ＭＳ 明朝" w:hint="eastAsia"/>
          <w:color w:val="auto"/>
        </w:rPr>
        <w:t>用意され</w:t>
      </w:r>
      <w:r w:rsidR="00DE1C19" w:rsidRPr="00012EEA">
        <w:rPr>
          <w:rFonts w:ascii="Century" w:hAnsi="ＭＳ 明朝" w:hint="eastAsia"/>
          <w:color w:val="auto"/>
        </w:rPr>
        <w:t>ており</w:t>
      </w:r>
      <w:r w:rsidR="00DA40F7" w:rsidRPr="00012EEA">
        <w:rPr>
          <w:rFonts w:ascii="Century" w:hAnsi="ＭＳ 明朝"/>
          <w:color w:val="auto"/>
        </w:rPr>
        <w:t>，「話す</w:t>
      </w:r>
      <w:r w:rsidR="00DE1C19" w:rsidRPr="00012EEA">
        <w:rPr>
          <w:rFonts w:ascii="Century" w:hAnsi="ＭＳ 明朝" w:hint="eastAsia"/>
          <w:color w:val="auto"/>
        </w:rPr>
        <w:t>/</w:t>
      </w:r>
      <w:r w:rsidR="00DA40F7" w:rsidRPr="00012EEA">
        <w:rPr>
          <w:rFonts w:ascii="Century" w:hAnsi="ＭＳ 明朝"/>
          <w:color w:val="auto"/>
        </w:rPr>
        <w:t>書く」ことで毎授業を締めくくれる構成にもなっている</w:t>
      </w:r>
      <w:r w:rsidR="003055CD" w:rsidRPr="00012EEA">
        <w:rPr>
          <w:rFonts w:ascii="Century" w:hAnsi="ＭＳ 明朝"/>
          <w:color w:val="auto"/>
        </w:rPr>
        <w:t>。</w:t>
      </w:r>
    </w:p>
    <w:p w:rsidR="00DE1C19" w:rsidRPr="00012EEA" w:rsidRDefault="00392EA1" w:rsidP="005C7151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Century"/>
          <w:color w:val="auto"/>
        </w:rPr>
        <w:t>SECTION</w:t>
      </w:r>
      <w:r w:rsidRPr="00012EEA">
        <w:rPr>
          <w:rFonts w:ascii="Century" w:hAnsi="Century" w:hint="eastAsia"/>
          <w:color w:val="auto"/>
        </w:rPr>
        <w:t>Ⅰから</w:t>
      </w:r>
      <w:r w:rsidRPr="00012EEA">
        <w:rPr>
          <w:rFonts w:ascii="Century" w:hAnsi="Century" w:hint="eastAsia"/>
          <w:color w:val="auto"/>
        </w:rPr>
        <w:t>SECTION</w:t>
      </w:r>
      <w:r w:rsidRPr="00012EEA">
        <w:rPr>
          <w:rFonts w:ascii="Century" w:hAnsi="Century" w:hint="eastAsia"/>
          <w:color w:val="auto"/>
        </w:rPr>
        <w:t>Ⅲ</w:t>
      </w:r>
      <w:r w:rsidR="00DE1C19" w:rsidRPr="00012EEA">
        <w:rPr>
          <w:rFonts w:ascii="Century" w:hAnsi="Century" w:hint="eastAsia"/>
          <w:color w:val="auto"/>
        </w:rPr>
        <w:t>まで</w:t>
      </w:r>
      <w:r w:rsidRPr="00012EEA">
        <w:rPr>
          <w:rFonts w:ascii="Century" w:hAnsi="ＭＳ 明朝" w:hint="eastAsia"/>
          <w:color w:val="auto"/>
        </w:rPr>
        <w:t>段階的に</w:t>
      </w:r>
      <w:r w:rsidR="00DE1C19" w:rsidRPr="00012EEA">
        <w:rPr>
          <w:rFonts w:ascii="Century" w:hAnsi="ＭＳ 明朝" w:hint="eastAsia"/>
          <w:color w:val="auto"/>
        </w:rPr>
        <w:t>本文の分量が増える構成</w:t>
      </w:r>
      <w:r w:rsidR="003055CD" w:rsidRPr="00012EEA">
        <w:rPr>
          <w:rFonts w:ascii="Century" w:hAnsi="ＭＳ 明朝" w:hint="eastAsia"/>
          <w:color w:val="auto"/>
        </w:rPr>
        <w:t>。</w:t>
      </w:r>
      <w:r w:rsidR="00DE1C19" w:rsidRPr="00012EEA">
        <w:rPr>
          <w:rFonts w:ascii="Century" w:hAnsi="ＭＳ 明朝" w:hint="eastAsia"/>
          <w:color w:val="auto"/>
        </w:rPr>
        <w:t>習熟度にあわせて，効果的に学習できるように配慮されている</w:t>
      </w:r>
      <w:r w:rsidR="003055CD" w:rsidRPr="00012EEA">
        <w:rPr>
          <w:rFonts w:ascii="Century" w:hAnsi="ＭＳ 明朝" w:hint="eastAsia"/>
          <w:color w:val="auto"/>
        </w:rPr>
        <w:t>。</w:t>
      </w:r>
    </w:p>
    <w:p w:rsidR="00DE1C19" w:rsidRPr="00012EEA" w:rsidRDefault="00355AB1" w:rsidP="00BB4708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 w:hint="eastAsia"/>
          <w:color w:val="auto"/>
        </w:rPr>
        <w:t>差込みページでは，</w:t>
      </w:r>
      <w:r w:rsidR="00DE1C19" w:rsidRPr="00012EEA">
        <w:rPr>
          <w:rFonts w:ascii="Century" w:hAnsi="ＭＳ 明朝" w:hint="eastAsia"/>
          <w:color w:val="auto"/>
        </w:rPr>
        <w:t>コミュニケーションⅠ・Ⅱで学習した「音声指導のポイント」「読解指導のポイント」「語い</w:t>
      </w:r>
      <w:r w:rsidR="005A3B0F" w:rsidRPr="00012EEA">
        <w:rPr>
          <w:rFonts w:ascii="Century" w:hAnsi="ＭＳ 明朝" w:hint="eastAsia"/>
          <w:color w:val="auto"/>
        </w:rPr>
        <w:t>(</w:t>
      </w:r>
      <w:r w:rsidR="005A3B0F" w:rsidRPr="00012EEA">
        <w:rPr>
          <w:rFonts w:ascii="Century" w:hAnsi="ＭＳ 明朝" w:hint="eastAsia"/>
          <w:color w:val="auto"/>
        </w:rPr>
        <w:t>ジャンル別</w:t>
      </w:r>
      <w:r w:rsidR="005A3B0F" w:rsidRPr="00012EEA">
        <w:rPr>
          <w:rFonts w:ascii="Century" w:hAnsi="ＭＳ 明朝" w:hint="eastAsia"/>
          <w:color w:val="auto"/>
        </w:rPr>
        <w:t>)</w:t>
      </w:r>
      <w:r w:rsidR="00DE1C19" w:rsidRPr="00012EEA">
        <w:rPr>
          <w:rFonts w:ascii="Century" w:hAnsi="ＭＳ 明朝" w:hint="eastAsia"/>
          <w:color w:val="auto"/>
        </w:rPr>
        <w:t>」</w:t>
      </w:r>
      <w:r w:rsidR="005A3B0F" w:rsidRPr="00012EEA">
        <w:rPr>
          <w:rFonts w:ascii="Century" w:hAnsi="ＭＳ 明朝" w:hint="eastAsia"/>
          <w:color w:val="auto"/>
        </w:rPr>
        <w:t>が</w:t>
      </w:r>
      <w:r w:rsidR="00DE1C19" w:rsidRPr="00012EEA">
        <w:rPr>
          <w:rFonts w:ascii="Century" w:hAnsi="ＭＳ 明朝" w:hint="eastAsia"/>
          <w:color w:val="auto"/>
        </w:rPr>
        <w:t>復習できる</w:t>
      </w:r>
      <w:r w:rsidR="005A3B0F" w:rsidRPr="00012EEA">
        <w:rPr>
          <w:rFonts w:ascii="Century" w:hAnsi="ＭＳ 明朝" w:hint="eastAsia"/>
          <w:color w:val="auto"/>
        </w:rPr>
        <w:t>よう工夫されている</w:t>
      </w:r>
      <w:r w:rsidR="003055CD" w:rsidRPr="00012EEA">
        <w:rPr>
          <w:rFonts w:ascii="Century" w:hAnsi="ＭＳ 明朝" w:hint="eastAsia"/>
          <w:color w:val="auto"/>
        </w:rPr>
        <w:t>。</w:t>
      </w:r>
      <w:r w:rsidR="00DE1C19" w:rsidRPr="00012EEA">
        <w:rPr>
          <w:rFonts w:ascii="Century" w:hAnsi="ＭＳ 明朝" w:hint="eastAsia"/>
          <w:color w:val="auto"/>
        </w:rPr>
        <w:t>また，「</w:t>
      </w:r>
      <w:r w:rsidRPr="00012EEA">
        <w:rPr>
          <w:rFonts w:ascii="Century" w:hAnsi="ＭＳ 明朝" w:hint="eastAsia"/>
          <w:color w:val="auto"/>
        </w:rPr>
        <w:t>要約文の作り方</w:t>
      </w:r>
      <w:r w:rsidR="00DE1C19" w:rsidRPr="00012EEA">
        <w:rPr>
          <w:rFonts w:ascii="Century" w:hAnsi="ＭＳ 明朝" w:hint="eastAsia"/>
          <w:color w:val="auto"/>
        </w:rPr>
        <w:t>」</w:t>
      </w:r>
      <w:r w:rsidRPr="00012EEA">
        <w:rPr>
          <w:rFonts w:ascii="Century" w:hAnsi="ＭＳ 明朝" w:hint="eastAsia"/>
          <w:color w:val="auto"/>
        </w:rPr>
        <w:t>「ディスカッション」</w:t>
      </w:r>
      <w:r w:rsidR="005A3B0F" w:rsidRPr="00012EEA">
        <w:rPr>
          <w:rFonts w:ascii="Century" w:hAnsi="ＭＳ 明朝" w:hint="eastAsia"/>
          <w:color w:val="auto"/>
        </w:rPr>
        <w:t>といった</w:t>
      </w:r>
      <w:r w:rsidRPr="00012EEA">
        <w:rPr>
          <w:rFonts w:ascii="Century" w:hAnsi="ＭＳ 明朝" w:hint="eastAsia"/>
          <w:color w:val="auto"/>
        </w:rPr>
        <w:t>将来実社会で役立つスキル</w:t>
      </w:r>
      <w:r w:rsidR="005A3B0F" w:rsidRPr="00012EEA">
        <w:rPr>
          <w:rFonts w:ascii="Century" w:hAnsi="ＭＳ 明朝" w:hint="eastAsia"/>
          <w:color w:val="auto"/>
        </w:rPr>
        <w:t>についても説明している</w:t>
      </w:r>
      <w:r w:rsidRPr="00012EEA">
        <w:rPr>
          <w:rFonts w:ascii="Century" w:hAnsi="ＭＳ 明朝" w:hint="eastAsia"/>
          <w:color w:val="auto"/>
        </w:rPr>
        <w:t>．</w:t>
      </w:r>
    </w:p>
    <w:p w:rsidR="00DA1905" w:rsidRPr="00012EEA" w:rsidRDefault="00355AB1" w:rsidP="00BB4708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/>
          <w:color w:val="auto"/>
        </w:rPr>
        <w:t>F</w:t>
      </w:r>
      <w:r w:rsidR="003055CD" w:rsidRPr="00012EEA">
        <w:rPr>
          <w:rFonts w:ascii="Century" w:hAnsi="ＭＳ 明朝"/>
          <w:color w:val="auto"/>
        </w:rPr>
        <w:t>URTHER</w:t>
      </w:r>
      <w:r w:rsidRPr="00012EEA">
        <w:rPr>
          <w:rFonts w:ascii="Century" w:hAnsi="ＭＳ 明朝"/>
          <w:color w:val="auto"/>
        </w:rPr>
        <w:t xml:space="preserve"> R</w:t>
      </w:r>
      <w:r w:rsidR="003055CD" w:rsidRPr="00012EEA">
        <w:rPr>
          <w:rFonts w:ascii="Century" w:hAnsi="ＭＳ 明朝"/>
          <w:color w:val="auto"/>
        </w:rPr>
        <w:t>EADING</w:t>
      </w:r>
      <w:r w:rsidR="00DA40F7" w:rsidRPr="00012EEA">
        <w:rPr>
          <w:rFonts w:ascii="Century" w:hAnsi="ＭＳ 明朝"/>
          <w:color w:val="auto"/>
        </w:rPr>
        <w:t>は</w:t>
      </w:r>
      <w:r w:rsidR="00DA1905" w:rsidRPr="00012EEA">
        <w:rPr>
          <w:rFonts w:ascii="Century" w:hAnsi="ＭＳ 明朝"/>
          <w:color w:val="auto"/>
        </w:rPr>
        <w:t>，長期休暇課題</w:t>
      </w:r>
      <w:r w:rsidR="00DA40F7" w:rsidRPr="00012EEA">
        <w:rPr>
          <w:rFonts w:ascii="Century" w:hAnsi="ＭＳ 明朝"/>
          <w:color w:val="auto"/>
        </w:rPr>
        <w:t>として</w:t>
      </w:r>
      <w:r w:rsidR="00DA1905" w:rsidRPr="00012EEA">
        <w:rPr>
          <w:rFonts w:ascii="Century" w:hAnsi="ＭＳ 明朝"/>
          <w:color w:val="auto"/>
        </w:rPr>
        <w:t>利用すること</w:t>
      </w:r>
      <w:r w:rsidRPr="00012EEA">
        <w:rPr>
          <w:rFonts w:ascii="Century" w:hAnsi="ＭＳ 明朝" w:hint="eastAsia"/>
          <w:color w:val="auto"/>
        </w:rPr>
        <w:t>も</w:t>
      </w:r>
      <w:r w:rsidR="00DA1905" w:rsidRPr="00012EEA">
        <w:rPr>
          <w:rFonts w:ascii="Century" w:hAnsi="ＭＳ 明朝"/>
          <w:color w:val="auto"/>
        </w:rPr>
        <w:t>できる</w:t>
      </w:r>
      <w:r w:rsidR="003055CD" w:rsidRPr="00012EEA">
        <w:rPr>
          <w:rFonts w:ascii="Century" w:hAnsi="ＭＳ 明朝"/>
          <w:color w:val="auto"/>
        </w:rPr>
        <w:t>。</w:t>
      </w:r>
    </w:p>
    <w:p w:rsidR="00DA1905" w:rsidRPr="00012EEA" w:rsidRDefault="00DA1905">
      <w:pPr>
        <w:rPr>
          <w:rFonts w:ascii="ＭＳ 明朝"/>
          <w:b/>
          <w:bCs/>
          <w:color w:val="auto"/>
        </w:rPr>
      </w:pPr>
    </w:p>
    <w:p w:rsidR="0021680C" w:rsidRPr="00012EEA" w:rsidRDefault="00F777E4" w:rsidP="0021680C">
      <w:pPr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12EEA">
        <w:rPr>
          <w:rFonts w:ascii="ＭＳ Ｐゴシック" w:eastAsia="ＭＳ Ｐゴシック" w:hAnsi="ＭＳ Ｐゴシック" w:hint="eastAsia"/>
          <w:b/>
          <w:bCs/>
          <w:color w:val="auto"/>
        </w:rPr>
        <w:t>表記・表現及び使用上の便宜</w:t>
      </w:r>
    </w:p>
    <w:p w:rsidR="00DA1905" w:rsidRPr="00012EEA" w:rsidRDefault="00DA1905">
      <w:pPr>
        <w:numPr>
          <w:ilvl w:val="0"/>
          <w:numId w:val="1"/>
        </w:numPr>
        <w:rPr>
          <w:rFonts w:ascii="Century" w:hAnsi="Century"/>
          <w:color w:val="auto"/>
        </w:rPr>
      </w:pPr>
      <w:r w:rsidRPr="00012EEA">
        <w:rPr>
          <w:rFonts w:ascii="Century" w:hAnsi="ＭＳ 明朝"/>
          <w:color w:val="auto"/>
        </w:rPr>
        <w:t>新語は脚注ではなく傍注</w:t>
      </w:r>
      <w:r w:rsidR="00AC6A25" w:rsidRPr="00012EEA">
        <w:rPr>
          <w:rFonts w:ascii="Century" w:hAnsi="ＭＳ 明朝"/>
          <w:color w:val="auto"/>
        </w:rPr>
        <w:t>に示してある</w:t>
      </w:r>
      <w:r w:rsidRPr="00012EEA">
        <w:rPr>
          <w:rFonts w:ascii="Century" w:hAnsi="ＭＳ 明朝"/>
          <w:color w:val="auto"/>
        </w:rPr>
        <w:t>ため，</w:t>
      </w:r>
      <w:r w:rsidR="00AC6A25" w:rsidRPr="00012EEA">
        <w:rPr>
          <w:rFonts w:ascii="Century" w:hAnsi="ＭＳ 明朝"/>
          <w:color w:val="auto"/>
        </w:rPr>
        <w:t>本文を追う</w:t>
      </w:r>
      <w:r w:rsidRPr="00012EEA">
        <w:rPr>
          <w:rFonts w:ascii="Century" w:hAnsi="ＭＳ 明朝"/>
          <w:color w:val="auto"/>
        </w:rPr>
        <w:t>目の動きに沿って</w:t>
      </w:r>
      <w:r w:rsidR="00AC6A25" w:rsidRPr="00012EEA">
        <w:rPr>
          <w:rFonts w:ascii="Century" w:hAnsi="ＭＳ 明朝"/>
          <w:color w:val="auto"/>
        </w:rPr>
        <w:t>確認する</w:t>
      </w:r>
      <w:r w:rsidRPr="00012EEA">
        <w:rPr>
          <w:rFonts w:ascii="Century" w:hAnsi="ＭＳ 明朝"/>
          <w:color w:val="auto"/>
        </w:rPr>
        <w:t>ことができる</w:t>
      </w:r>
      <w:r w:rsidR="003055CD" w:rsidRPr="00012EEA">
        <w:rPr>
          <w:rFonts w:ascii="Century" w:hAnsi="ＭＳ 明朝"/>
          <w:color w:val="auto"/>
        </w:rPr>
        <w:t>。</w:t>
      </w:r>
    </w:p>
    <w:p w:rsidR="00DA1905" w:rsidRPr="00012EEA" w:rsidRDefault="00DA1905">
      <w:pPr>
        <w:numPr>
          <w:ilvl w:val="0"/>
          <w:numId w:val="1"/>
        </w:numPr>
        <w:rPr>
          <w:rFonts w:ascii="Century" w:hAnsi="Century"/>
          <w:color w:val="auto"/>
        </w:rPr>
      </w:pPr>
      <w:r w:rsidRPr="00012EEA">
        <w:rPr>
          <w:rFonts w:ascii="Century" w:hAnsi="ＭＳ 明朝"/>
          <w:color w:val="auto"/>
        </w:rPr>
        <w:t>脚注は指示語</w:t>
      </w:r>
      <w:r w:rsidR="00403548" w:rsidRPr="00012EEA">
        <w:rPr>
          <w:rFonts w:ascii="Century" w:hAnsi="ＭＳ 明朝" w:hint="eastAsia"/>
          <w:color w:val="auto"/>
        </w:rPr>
        <w:t>等</w:t>
      </w:r>
      <w:r w:rsidR="00AC6A25" w:rsidRPr="00012EEA">
        <w:rPr>
          <w:rFonts w:ascii="Century" w:hAnsi="ＭＳ 明朝"/>
          <w:color w:val="auto"/>
        </w:rPr>
        <w:t>の確認，</w:t>
      </w:r>
      <w:r w:rsidRPr="00012EEA">
        <w:rPr>
          <w:rFonts w:ascii="Century" w:hAnsi="ＭＳ 明朝"/>
          <w:color w:val="auto"/>
        </w:rPr>
        <w:t>イディオム</w:t>
      </w:r>
      <w:r w:rsidR="00AC6A25" w:rsidRPr="00012EEA">
        <w:rPr>
          <w:rFonts w:ascii="Century" w:hAnsi="ＭＳ 明朝"/>
          <w:color w:val="auto"/>
        </w:rPr>
        <w:t>，</w:t>
      </w:r>
      <w:r w:rsidRPr="00012EEA">
        <w:rPr>
          <w:rFonts w:ascii="Century" w:hAnsi="ＭＳ 明朝"/>
          <w:color w:val="auto"/>
        </w:rPr>
        <w:t>固有名詞</w:t>
      </w:r>
      <w:r w:rsidR="00AC6A25" w:rsidRPr="00012EEA">
        <w:rPr>
          <w:rFonts w:ascii="Century" w:hAnsi="ＭＳ 明朝"/>
          <w:color w:val="auto"/>
        </w:rPr>
        <w:t>等の語句注</w:t>
      </w:r>
      <w:r w:rsidRPr="00012EEA">
        <w:rPr>
          <w:rFonts w:ascii="Century" w:hAnsi="ＭＳ 明朝"/>
          <w:color w:val="auto"/>
        </w:rPr>
        <w:t>に分かれて</w:t>
      </w:r>
      <w:r w:rsidR="00355AB1" w:rsidRPr="00012EEA">
        <w:rPr>
          <w:rFonts w:ascii="Century" w:hAnsi="ＭＳ 明朝" w:hint="eastAsia"/>
          <w:color w:val="auto"/>
        </w:rPr>
        <w:t>いる</w:t>
      </w:r>
      <w:r w:rsidR="003055CD" w:rsidRPr="00012EEA">
        <w:rPr>
          <w:rFonts w:ascii="Century" w:hAnsi="ＭＳ 明朝" w:hint="eastAsia"/>
          <w:color w:val="auto"/>
        </w:rPr>
        <w:t>。</w:t>
      </w:r>
      <w:r w:rsidRPr="00012EEA">
        <w:rPr>
          <w:rFonts w:ascii="Century" w:hAnsi="ＭＳ 明朝"/>
          <w:color w:val="auto"/>
        </w:rPr>
        <w:t>イディオム</w:t>
      </w:r>
      <w:r w:rsidR="00AC6A25" w:rsidRPr="00012EEA">
        <w:rPr>
          <w:rFonts w:ascii="Century" w:hAnsi="ＭＳ 明朝"/>
          <w:color w:val="auto"/>
        </w:rPr>
        <w:t>には</w:t>
      </w:r>
      <w:r w:rsidRPr="00012EEA">
        <w:rPr>
          <w:rFonts w:ascii="Century" w:hAnsi="ＭＳ 明朝"/>
          <w:color w:val="auto"/>
        </w:rPr>
        <w:t>辞書で引くべき</w:t>
      </w:r>
      <w:r w:rsidR="00AC6A25" w:rsidRPr="00012EEA">
        <w:rPr>
          <w:rFonts w:ascii="Century" w:hAnsi="ＭＳ 明朝"/>
          <w:color w:val="auto"/>
        </w:rPr>
        <w:t>見出し</w:t>
      </w:r>
      <w:r w:rsidRPr="00012EEA">
        <w:rPr>
          <w:rFonts w:ascii="Century" w:hAnsi="ＭＳ 明朝"/>
          <w:color w:val="auto"/>
        </w:rPr>
        <w:t>語</w:t>
      </w:r>
      <w:r w:rsidR="00AC6A25" w:rsidRPr="00012EEA">
        <w:rPr>
          <w:rFonts w:ascii="Century" w:hAnsi="ＭＳ 明朝"/>
          <w:color w:val="auto"/>
        </w:rPr>
        <w:t>に＊印が付いており，学習しやすい</w:t>
      </w:r>
      <w:r w:rsidR="003055CD" w:rsidRPr="00012EEA">
        <w:rPr>
          <w:rFonts w:ascii="Century" w:hAnsi="ＭＳ 明朝"/>
          <w:color w:val="auto"/>
        </w:rPr>
        <w:t>。</w:t>
      </w:r>
    </w:p>
    <w:p w:rsidR="00DA1905" w:rsidRPr="00012EEA" w:rsidRDefault="00DA1905">
      <w:pPr>
        <w:numPr>
          <w:ilvl w:val="0"/>
          <w:numId w:val="1"/>
        </w:numPr>
        <w:rPr>
          <w:rFonts w:ascii="Century" w:hAnsi="Century"/>
          <w:color w:val="auto"/>
        </w:rPr>
      </w:pPr>
      <w:r w:rsidRPr="00012EEA">
        <w:rPr>
          <w:rFonts w:ascii="Century" w:hAnsi="ＭＳ 明朝"/>
          <w:color w:val="auto"/>
        </w:rPr>
        <w:t>内容に即した挿し絵や写真が多く，魅力ある紙面構成となっている</w:t>
      </w:r>
      <w:r w:rsidR="003055CD" w:rsidRPr="00012EEA">
        <w:rPr>
          <w:rFonts w:ascii="Century" w:hAnsi="ＭＳ 明朝"/>
          <w:color w:val="auto"/>
        </w:rPr>
        <w:t>。</w:t>
      </w:r>
      <w:r w:rsidR="00AC6A25" w:rsidRPr="00012EEA">
        <w:rPr>
          <w:rFonts w:ascii="Century" w:hAnsi="ＭＳ 明朝"/>
          <w:color w:val="auto"/>
        </w:rPr>
        <w:t>また，それら挿絵や写真を素材として，適宜</w:t>
      </w:r>
      <w:r w:rsidR="00AC6A25" w:rsidRPr="00012EEA">
        <w:rPr>
          <w:rFonts w:ascii="Century" w:hAnsi="Century"/>
          <w:color w:val="auto"/>
        </w:rPr>
        <w:t xml:space="preserve"> </w:t>
      </w:r>
      <w:r w:rsidR="00AC6A25" w:rsidRPr="00012EEA">
        <w:rPr>
          <w:rFonts w:ascii="Century" w:hAnsi="ＭＳ 明朝"/>
          <w:color w:val="auto"/>
        </w:rPr>
        <w:t>英語で活動できるなど，生徒に積極的な発言を促す展開も可能である</w:t>
      </w:r>
      <w:r w:rsidR="003055CD" w:rsidRPr="00012EEA">
        <w:rPr>
          <w:rFonts w:ascii="Century" w:hAnsi="ＭＳ 明朝"/>
          <w:color w:val="auto"/>
        </w:rPr>
        <w:t>。</w:t>
      </w:r>
    </w:p>
    <w:p w:rsidR="00B153F1" w:rsidRPr="00012EEA" w:rsidRDefault="00B153F1" w:rsidP="00B153F1">
      <w:pPr>
        <w:numPr>
          <w:ilvl w:val="0"/>
          <w:numId w:val="1"/>
        </w:numPr>
        <w:rPr>
          <w:rFonts w:ascii="Century" w:hAnsi="Century"/>
          <w:color w:val="auto"/>
        </w:rPr>
      </w:pPr>
      <w:r w:rsidRPr="00012EEA">
        <w:rPr>
          <w:rFonts w:ascii="Century" w:hAnsi="ＭＳ 明朝"/>
          <w:color w:val="auto"/>
        </w:rPr>
        <w:t>巻末</w:t>
      </w:r>
      <w:r w:rsidR="00355AB1" w:rsidRPr="00012EEA">
        <w:rPr>
          <w:rFonts w:ascii="Century" w:hAnsi="ＭＳ 明朝" w:hint="eastAsia"/>
          <w:color w:val="auto"/>
        </w:rPr>
        <w:t>：</w:t>
      </w:r>
      <w:r w:rsidR="00355AB1" w:rsidRPr="00012EEA">
        <w:rPr>
          <w:rFonts w:ascii="Century" w:hAnsi="ＭＳ 明朝" w:hint="eastAsia"/>
          <w:color w:val="auto"/>
        </w:rPr>
        <w:t>N</w:t>
      </w:r>
      <w:r w:rsidR="00C42FE2" w:rsidRPr="00012EEA">
        <w:rPr>
          <w:rFonts w:ascii="Century" w:hAnsi="ＭＳ 明朝"/>
          <w:color w:val="auto"/>
        </w:rPr>
        <w:t>OTES</w:t>
      </w:r>
      <w:r w:rsidRPr="00012EEA">
        <w:rPr>
          <w:rFonts w:ascii="ＭＳ 明朝" w:hAnsi="ＭＳ 明朝"/>
          <w:color w:val="auto"/>
        </w:rPr>
        <w:t>(</w:t>
      </w:r>
      <w:r w:rsidR="00355AB1" w:rsidRPr="00012EEA">
        <w:rPr>
          <w:rFonts w:ascii="ＭＳ 明朝" w:hAnsi="ＭＳ 明朝" w:hint="eastAsia"/>
          <w:color w:val="auto"/>
        </w:rPr>
        <w:t>レッスンの背景知識</w:t>
      </w:r>
      <w:r w:rsidRPr="00012EEA">
        <w:rPr>
          <w:rFonts w:ascii="ＭＳ 明朝" w:hAnsi="ＭＳ 明朝"/>
          <w:color w:val="auto"/>
        </w:rPr>
        <w:t>)</w:t>
      </w:r>
      <w:r w:rsidRPr="00012EEA">
        <w:rPr>
          <w:rFonts w:ascii="Century" w:hAnsi="ＭＳ 明朝"/>
          <w:color w:val="auto"/>
        </w:rPr>
        <w:t>のまとめ</w:t>
      </w:r>
      <w:r w:rsidR="00355AB1" w:rsidRPr="00012EEA">
        <w:rPr>
          <w:rFonts w:ascii="Century" w:hAnsi="ＭＳ 明朝" w:hint="eastAsia"/>
          <w:color w:val="auto"/>
        </w:rPr>
        <w:t>と，</w:t>
      </w:r>
      <w:r w:rsidRPr="00012EEA">
        <w:rPr>
          <w:rFonts w:ascii="Century" w:hAnsi="Century"/>
          <w:color w:val="auto"/>
        </w:rPr>
        <w:t>Useful Idioms</w:t>
      </w:r>
      <w:r w:rsidRPr="00012EEA">
        <w:rPr>
          <w:rFonts w:ascii="ＭＳ 明朝" w:hAnsi="ＭＳ 明朝" w:hint="eastAsia"/>
          <w:color w:val="auto"/>
        </w:rPr>
        <w:t>(</w:t>
      </w:r>
      <w:r w:rsidRPr="00012EEA">
        <w:rPr>
          <w:rFonts w:ascii="Century" w:hAnsi="ＭＳ 明朝"/>
          <w:color w:val="auto"/>
        </w:rPr>
        <w:t>脚注で扱ったイディオム</w:t>
      </w:r>
      <w:r w:rsidR="003055CD" w:rsidRPr="00012EEA">
        <w:rPr>
          <w:rFonts w:ascii="Century" w:hAnsi="ＭＳ 明朝"/>
          <w:color w:val="auto"/>
        </w:rPr>
        <w:t>。</w:t>
      </w:r>
      <w:r w:rsidRPr="00012EEA">
        <w:rPr>
          <w:rFonts w:ascii="Century" w:hAnsi="ＭＳ 明朝"/>
          <w:color w:val="auto"/>
        </w:rPr>
        <w:lastRenderedPageBreak/>
        <w:t>別例文付き</w:t>
      </w:r>
      <w:r w:rsidRPr="00012EEA">
        <w:rPr>
          <w:rFonts w:ascii="ＭＳ 明朝" w:hAnsi="ＭＳ 明朝" w:hint="eastAsia"/>
          <w:color w:val="auto"/>
        </w:rPr>
        <w:t>)</w:t>
      </w:r>
      <w:r w:rsidRPr="00012EEA">
        <w:rPr>
          <w:rFonts w:ascii="Century" w:hAnsi="ＭＳ 明朝"/>
          <w:color w:val="auto"/>
        </w:rPr>
        <w:t>のまとめが用意されている</w:t>
      </w:r>
      <w:r w:rsidR="003055CD" w:rsidRPr="00012EEA">
        <w:rPr>
          <w:rFonts w:ascii="Century" w:hAnsi="ＭＳ 明朝"/>
          <w:color w:val="auto"/>
        </w:rPr>
        <w:t>。</w:t>
      </w:r>
    </w:p>
    <w:p w:rsidR="00B153F1" w:rsidRPr="00012EEA" w:rsidRDefault="00B153F1" w:rsidP="00B153F1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/>
          <w:color w:val="auto"/>
        </w:rPr>
        <w:t>索引：本文に登場する新語が掲載されている</w:t>
      </w:r>
      <w:r w:rsidR="003055CD" w:rsidRPr="00012EEA">
        <w:rPr>
          <w:rFonts w:ascii="Century" w:hAnsi="ＭＳ 明朝"/>
          <w:color w:val="auto"/>
        </w:rPr>
        <w:t>。</w:t>
      </w:r>
    </w:p>
    <w:p w:rsidR="00B153F1" w:rsidRPr="00012EEA" w:rsidRDefault="00B153F1" w:rsidP="00B153F1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/>
          <w:color w:val="auto"/>
        </w:rPr>
        <w:t>判型・その他：</w:t>
      </w:r>
      <w:r w:rsidRPr="00012EEA">
        <w:rPr>
          <w:rFonts w:ascii="Century" w:hAnsi="Century"/>
          <w:color w:val="auto"/>
        </w:rPr>
        <w:t>B5</w:t>
      </w:r>
      <w:r w:rsidRPr="00012EEA">
        <w:rPr>
          <w:rFonts w:ascii="Century" w:hAnsi="ＭＳ 明朝"/>
          <w:color w:val="auto"/>
        </w:rPr>
        <w:t>型で紙面をゆったりととり，写真やイラストを効果的に提示している</w:t>
      </w:r>
      <w:r w:rsidR="003055CD" w:rsidRPr="00012EEA">
        <w:rPr>
          <w:rFonts w:ascii="Century" w:hAnsi="ＭＳ 明朝"/>
          <w:color w:val="auto"/>
        </w:rPr>
        <w:t>。</w:t>
      </w:r>
    </w:p>
    <w:p w:rsidR="00EC36C2" w:rsidRPr="00012EEA" w:rsidRDefault="00EC36C2" w:rsidP="00EC36C2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Century" w:hint="eastAsia"/>
          <w:color w:val="auto"/>
          <w:spacing w:val="4"/>
        </w:rPr>
        <w:t>用語や記号の用い方が統一されており，表現も適当である</w:t>
      </w:r>
      <w:r w:rsidR="003055CD" w:rsidRPr="00012EEA">
        <w:rPr>
          <w:rFonts w:ascii="Century" w:hAnsi="Century" w:hint="eastAsia"/>
          <w:color w:val="auto"/>
          <w:spacing w:val="4"/>
        </w:rPr>
        <w:t>。</w:t>
      </w:r>
    </w:p>
    <w:p w:rsidR="00355AB1" w:rsidRPr="00012EEA" w:rsidRDefault="00355AB1" w:rsidP="00355AB1">
      <w:pPr>
        <w:ind w:left="360"/>
        <w:rPr>
          <w:rFonts w:ascii="Century" w:hAnsi="Century"/>
          <w:color w:val="auto"/>
          <w:spacing w:val="4"/>
        </w:rPr>
      </w:pPr>
    </w:p>
    <w:p w:rsidR="0021680C" w:rsidRPr="00012EEA" w:rsidRDefault="00B153F1" w:rsidP="0021680C">
      <w:pPr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12EEA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その他</w:t>
      </w:r>
    </w:p>
    <w:p w:rsidR="003544A2" w:rsidRPr="00012EEA" w:rsidRDefault="001417E1" w:rsidP="00EC36C2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Century" w:hint="eastAsia"/>
          <w:color w:val="auto"/>
          <w:spacing w:val="4"/>
        </w:rPr>
        <w:t>後ろ</w:t>
      </w:r>
      <w:r w:rsidR="00737C71" w:rsidRPr="00012EEA">
        <w:rPr>
          <w:rFonts w:ascii="Century" w:hAnsi="Century" w:hint="eastAsia"/>
          <w:color w:val="auto"/>
          <w:spacing w:val="4"/>
        </w:rPr>
        <w:t>見返し</w:t>
      </w:r>
      <w:r w:rsidRPr="00012EEA">
        <w:rPr>
          <w:rFonts w:ascii="Century" w:hAnsi="Century" w:hint="eastAsia"/>
          <w:color w:val="auto"/>
          <w:spacing w:val="4"/>
        </w:rPr>
        <w:t>の</w:t>
      </w:r>
      <w:r w:rsidR="006A1987" w:rsidRPr="00012EEA">
        <w:rPr>
          <w:rFonts w:ascii="Century" w:hAnsi="Century" w:hint="eastAsia"/>
          <w:color w:val="auto"/>
          <w:spacing w:val="4"/>
        </w:rPr>
        <w:t>「</w:t>
      </w:r>
      <w:r w:rsidR="00355AB1" w:rsidRPr="00012EEA">
        <w:rPr>
          <w:rFonts w:ascii="Century" w:hAnsi="Century" w:hint="eastAsia"/>
          <w:color w:val="auto"/>
          <w:spacing w:val="4"/>
        </w:rPr>
        <w:t>句読法</w:t>
      </w:r>
      <w:r w:rsidR="006A1987" w:rsidRPr="00012EEA">
        <w:rPr>
          <w:rFonts w:ascii="Century" w:hAnsi="Century" w:hint="eastAsia"/>
          <w:color w:val="auto"/>
          <w:spacing w:val="4"/>
        </w:rPr>
        <w:t>」</w:t>
      </w:r>
      <w:r w:rsidRPr="00012EEA">
        <w:rPr>
          <w:rFonts w:ascii="Century" w:hAnsi="Century" w:hint="eastAsia"/>
          <w:color w:val="auto"/>
        </w:rPr>
        <w:t>を活用することで，授業にお</w:t>
      </w:r>
      <w:r w:rsidR="006A1987" w:rsidRPr="00012EEA">
        <w:rPr>
          <w:rFonts w:ascii="Century" w:hAnsi="Century" w:hint="eastAsia"/>
          <w:color w:val="auto"/>
        </w:rPr>
        <w:t>いて本文指導を</w:t>
      </w:r>
      <w:r w:rsidRPr="00012EEA">
        <w:rPr>
          <w:rFonts w:ascii="Century" w:hAnsi="Century" w:hint="eastAsia"/>
          <w:color w:val="auto"/>
        </w:rPr>
        <w:t>より円滑に展開することができる</w:t>
      </w:r>
      <w:r w:rsidR="003055CD" w:rsidRPr="00012EEA">
        <w:rPr>
          <w:rFonts w:ascii="Century" w:hAnsi="Century" w:hint="eastAsia"/>
          <w:color w:val="auto"/>
        </w:rPr>
        <w:t>。</w:t>
      </w:r>
    </w:p>
    <w:p w:rsidR="00EC36C2" w:rsidRPr="00012EEA" w:rsidRDefault="00EC36C2" w:rsidP="00EC36C2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Century" w:hint="eastAsia"/>
          <w:color w:val="auto"/>
        </w:rPr>
        <w:t>再生紙と植物油インキ</w:t>
      </w:r>
      <w:r w:rsidR="005A3B0F" w:rsidRPr="00012EEA">
        <w:rPr>
          <w:rFonts w:ascii="Century" w:hAnsi="Century" w:hint="eastAsia"/>
          <w:color w:val="auto"/>
        </w:rPr>
        <w:t>を</w:t>
      </w:r>
      <w:r w:rsidRPr="00012EEA">
        <w:rPr>
          <w:rFonts w:ascii="Century" w:hAnsi="Century" w:hint="eastAsia"/>
          <w:color w:val="auto"/>
        </w:rPr>
        <w:t>使用</w:t>
      </w:r>
      <w:r w:rsidR="005A3B0F" w:rsidRPr="00012EEA">
        <w:rPr>
          <w:rFonts w:ascii="Century" w:hAnsi="Century" w:hint="eastAsia"/>
          <w:color w:val="auto"/>
        </w:rPr>
        <w:t>し</w:t>
      </w:r>
      <w:r w:rsidRPr="00012EEA">
        <w:rPr>
          <w:rFonts w:ascii="Century" w:hAnsi="Century" w:hint="eastAsia"/>
          <w:color w:val="auto"/>
        </w:rPr>
        <w:t>た環境に配慮された教科書である</w:t>
      </w:r>
      <w:r w:rsidR="003055CD" w:rsidRPr="00012EEA">
        <w:rPr>
          <w:rFonts w:ascii="Century" w:hAnsi="Century" w:hint="eastAsia"/>
          <w:color w:val="auto"/>
        </w:rPr>
        <w:t>。</w:t>
      </w:r>
    </w:p>
    <w:p w:rsidR="00EC36C2" w:rsidRPr="00012EEA" w:rsidRDefault="00EC36C2" w:rsidP="00EC36C2">
      <w:pPr>
        <w:numPr>
          <w:ilvl w:val="0"/>
          <w:numId w:val="1"/>
        </w:numPr>
        <w:rPr>
          <w:rFonts w:ascii="Century" w:hAnsi="Century"/>
          <w:color w:val="auto"/>
          <w:spacing w:val="4"/>
        </w:rPr>
      </w:pPr>
      <w:r w:rsidRPr="00012EEA">
        <w:rPr>
          <w:rFonts w:ascii="Century" w:hAnsi="ＭＳ 明朝" w:hint="eastAsia"/>
          <w:color w:val="auto"/>
        </w:rPr>
        <w:t>教授資料や周辺教材が充実しており，さまざまな運用が可能な教科書である</w:t>
      </w:r>
      <w:r w:rsidR="003055CD" w:rsidRPr="00012EEA">
        <w:rPr>
          <w:rFonts w:ascii="Century" w:hAnsi="ＭＳ 明朝" w:hint="eastAsia"/>
          <w:color w:val="auto"/>
        </w:rPr>
        <w:t>。</w:t>
      </w:r>
    </w:p>
    <w:sectPr w:rsidR="00EC36C2" w:rsidRPr="00012EEA">
      <w:footerReference w:type="default" r:id="rId7"/>
      <w:footnotePr>
        <w:numRestart w:val="eachPage"/>
      </w:footnotePr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" w:linePitch="38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24" w:rsidRDefault="00262824">
      <w:r>
        <w:separator/>
      </w:r>
    </w:p>
  </w:endnote>
  <w:endnote w:type="continuationSeparator" w:id="0">
    <w:p w:rsidR="00262824" w:rsidRDefault="0026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2C" w:rsidRDefault="00643E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24" w:rsidRDefault="002628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62824" w:rsidRDefault="0026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9D4"/>
    <w:multiLevelType w:val="hybridMultilevel"/>
    <w:tmpl w:val="9C921EA6"/>
    <w:lvl w:ilvl="0" w:tplc="383843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DC84252"/>
    <w:multiLevelType w:val="hybridMultilevel"/>
    <w:tmpl w:val="EADECF7E"/>
    <w:lvl w:ilvl="0" w:tplc="36E4104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3E5B11"/>
    <w:multiLevelType w:val="hybridMultilevel"/>
    <w:tmpl w:val="8AA205F8"/>
    <w:lvl w:ilvl="0" w:tplc="7EA4D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0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12B"/>
    <w:rsid w:val="00012EEA"/>
    <w:rsid w:val="000325DB"/>
    <w:rsid w:val="0005625A"/>
    <w:rsid w:val="000B607C"/>
    <w:rsid w:val="001417E1"/>
    <w:rsid w:val="00161FE1"/>
    <w:rsid w:val="001C0C04"/>
    <w:rsid w:val="0021680C"/>
    <w:rsid w:val="00230638"/>
    <w:rsid w:val="00262824"/>
    <w:rsid w:val="002A5EDC"/>
    <w:rsid w:val="002C6E9C"/>
    <w:rsid w:val="002E1E1E"/>
    <w:rsid w:val="002E7339"/>
    <w:rsid w:val="00304655"/>
    <w:rsid w:val="003055CD"/>
    <w:rsid w:val="00314EA9"/>
    <w:rsid w:val="00317111"/>
    <w:rsid w:val="003544A2"/>
    <w:rsid w:val="00355AB1"/>
    <w:rsid w:val="003840E1"/>
    <w:rsid w:val="00392C18"/>
    <w:rsid w:val="00392EA1"/>
    <w:rsid w:val="003A2431"/>
    <w:rsid w:val="003A3A2F"/>
    <w:rsid w:val="003D5D5F"/>
    <w:rsid w:val="00403548"/>
    <w:rsid w:val="00416444"/>
    <w:rsid w:val="00462B82"/>
    <w:rsid w:val="004849E6"/>
    <w:rsid w:val="00491BB3"/>
    <w:rsid w:val="00493374"/>
    <w:rsid w:val="00551F02"/>
    <w:rsid w:val="005526EC"/>
    <w:rsid w:val="00585324"/>
    <w:rsid w:val="005A29AE"/>
    <w:rsid w:val="005A3B0F"/>
    <w:rsid w:val="005C7151"/>
    <w:rsid w:val="005F31EE"/>
    <w:rsid w:val="006018FB"/>
    <w:rsid w:val="00643E2C"/>
    <w:rsid w:val="006776B9"/>
    <w:rsid w:val="006A1987"/>
    <w:rsid w:val="006B30DB"/>
    <w:rsid w:val="006F603D"/>
    <w:rsid w:val="00737C71"/>
    <w:rsid w:val="00751BEB"/>
    <w:rsid w:val="00822184"/>
    <w:rsid w:val="008411F6"/>
    <w:rsid w:val="00905992"/>
    <w:rsid w:val="0091430B"/>
    <w:rsid w:val="00914501"/>
    <w:rsid w:val="009626E7"/>
    <w:rsid w:val="009825BD"/>
    <w:rsid w:val="00987B79"/>
    <w:rsid w:val="009A6236"/>
    <w:rsid w:val="00A44A1E"/>
    <w:rsid w:val="00A64290"/>
    <w:rsid w:val="00A725EB"/>
    <w:rsid w:val="00A82E10"/>
    <w:rsid w:val="00A86177"/>
    <w:rsid w:val="00AC6A25"/>
    <w:rsid w:val="00B153F1"/>
    <w:rsid w:val="00B20C03"/>
    <w:rsid w:val="00BB4708"/>
    <w:rsid w:val="00C12041"/>
    <w:rsid w:val="00C42FE2"/>
    <w:rsid w:val="00C71007"/>
    <w:rsid w:val="00C73870"/>
    <w:rsid w:val="00C812F7"/>
    <w:rsid w:val="00D010BB"/>
    <w:rsid w:val="00D05B8B"/>
    <w:rsid w:val="00DA1905"/>
    <w:rsid w:val="00DA40F7"/>
    <w:rsid w:val="00DC244C"/>
    <w:rsid w:val="00DC4294"/>
    <w:rsid w:val="00DE1C19"/>
    <w:rsid w:val="00E57E93"/>
    <w:rsid w:val="00EC36C2"/>
    <w:rsid w:val="00EE6269"/>
    <w:rsid w:val="00F33979"/>
    <w:rsid w:val="00F34383"/>
    <w:rsid w:val="00F57CEA"/>
    <w:rsid w:val="00F6112B"/>
    <w:rsid w:val="00F64184"/>
    <w:rsid w:val="00F777E4"/>
    <w:rsid w:val="00F8746E"/>
    <w:rsid w:val="00FB4A34"/>
    <w:rsid w:val="00FD75F9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/>
  <cp:lastPrinted>2014-02-28T15:00:00Z</cp:lastPrinted>
  <dcterms:created xsi:type="dcterms:W3CDTF">2018-06-20T02:26:00Z</dcterms:created>
  <dcterms:modified xsi:type="dcterms:W3CDTF">2018-06-27T07:14:00Z</dcterms:modified>
  <cp:category/>
</cp:coreProperties>
</file>